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LUXURY PROPERTY MARKET ANALYSIS</w:t>
      </w:r>
    </w:p>
    <w:p>
      <w:pPr>
        <w:pStyle w:val="Heading1"/>
        <w:spacing w:before="240" w:after="120"/>
      </w:pPr>
      <w:r>
        <w:t xml:space="preserve">Subject Property</w:t>
      </w:r>
    </w:p>
    <w:p>
      <w:pPr>
        <w:spacing w:after="80"/>
      </w:pP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80"/>
      </w:pPr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</w:pPr>
      <w:r>
        <w:rPr>
          <w:b/>
          <w:bCs/>
        </w:rPr>
        <w:t xml:space="preserve">Square Feet: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| </w:t>
      </w:r>
      <w:r>
        <w:rPr>
          <w:b/>
          <w:bCs/>
        </w:rPr>
        <w:t xml:space="preserve">Lot Size: </w:t>
      </w:r>
      <w:r>
        <w:rPr>
          <w:rFonts w:ascii="Courier New" w:cs="Courier New" w:eastAsia="Courier New" w:hAnsi="Courier New"/>
          <w:color w:val="000000"/>
        </w:rPr>
        <w:t xml:space="preserve">&lt;&lt;properties.LotSize&gt;&gt;</w:t>
      </w:r>
      <w:r>
        <w:t xml:space="preserve"/>
      </w:r>
    </w:p>
    <w:p>
      <w:pPr>
        <w:pStyle w:val="Heading1"/>
        <w:spacing w:before="240" w:after="120"/>
      </w:pPr>
      <w:r>
        <w:t xml:space="preserve">Luxury Features</w:t>
      </w:r>
    </w:p>
    <w:p>
      <w:pPr>
        <w:spacing w:after="80"/>
      </w:pPr>
      <w:r>
        <w:rPr>
          <w:b/>
          <w:bCs/>
        </w:rPr>
        <w:t xml:space="preserve">Architectural Style: </w:t>
      </w:r>
      <w:r>
        <w:rPr>
          <w:rFonts w:ascii="Courier New" w:cs="Courier New" w:eastAsia="Courier New" w:hAnsi="Courier New"/>
          <w:color w:val="000000"/>
        </w:rPr>
        <w:t xml:space="preserve">&lt;&lt;luxury_features.ArchitecturalStyle&gt;&gt;</w:t>
      </w:r>
    </w:p>
    <w:p>
      <w:pPr>
        <w:spacing w:after="80"/>
      </w:pPr>
      <w:r>
        <w:rPr>
          <w:b/>
          <w:bCs/>
        </w:rPr>
        <w:t xml:space="preserve">Custom Features: </w:t>
      </w:r>
      <w:r>
        <w:rPr>
          <w:rFonts w:ascii="Courier New" w:cs="Courier New" w:eastAsia="Courier New" w:hAnsi="Courier New"/>
          <w:color w:val="000000"/>
        </w:rPr>
        <w:t xml:space="preserve">&lt;&lt;luxury_features.CustomFeatures&gt;&gt;</w:t>
      </w:r>
    </w:p>
    <w:p>
      <w:pPr>
        <w:spacing w:after="80"/>
      </w:pPr>
      <w:r>
        <w:rPr>
          <w:b/>
          <w:bCs/>
        </w:rPr>
        <w:t xml:space="preserve">Pool: </w:t>
      </w:r>
      <w:r>
        <w:rPr>
          <w:rFonts w:ascii="Courier New" w:cs="Courier New" w:eastAsia="Courier New" w:hAnsi="Courier New"/>
          <w:color w:val="000000"/>
        </w:rPr>
        <w:t xml:space="preserve">&lt;&lt;luxury_features.Pool&gt;&gt;</w:t>
      </w:r>
      <w:r>
        <w:t xml:space="preserve"> | </w:t>
      </w:r>
      <w:r>
        <w:rPr>
          <w:b/>
          <w:bCs/>
        </w:rPr>
        <w:t xml:space="preserve">Wine Cellar: </w:t>
      </w:r>
      <w:r>
        <w:rPr>
          <w:rFonts w:ascii="Courier New" w:cs="Courier New" w:eastAsia="Courier New" w:hAnsi="Courier New"/>
          <w:color w:val="000000"/>
        </w:rPr>
        <w:t xml:space="preserve">&lt;&lt;luxury_features.WineCellar&gt;&gt;</w:t>
      </w:r>
      <w:r>
        <w:t xml:space="preserve"> | </w:t>
      </w:r>
      <w:r>
        <w:rPr>
          <w:b/>
          <w:bCs/>
        </w:rPr>
        <w:t xml:space="preserve">Home Theater: </w:t>
      </w:r>
      <w:r>
        <w:rPr>
          <w:rFonts w:ascii="Courier New" w:cs="Courier New" w:eastAsia="Courier New" w:hAnsi="Courier New"/>
          <w:color w:val="000000"/>
        </w:rPr>
        <w:t xml:space="preserve">&lt;&lt;luxury_features.HomeTheater&gt;&gt;</w:t>
      </w:r>
    </w:p>
    <w:p>
      <w:pPr>
        <w:spacing w:after="240"/>
      </w:pPr>
      <w:r>
        <w:rPr>
          <w:b/>
          <w:bCs/>
        </w:rPr>
        <w:t xml:space="preserve">Smart Home: </w:t>
      </w:r>
      <w:r>
        <w:rPr>
          <w:rFonts w:ascii="Courier New" w:cs="Courier New" w:eastAsia="Courier New" w:hAnsi="Courier New"/>
          <w:color w:val="000000"/>
        </w:rPr>
        <w:t xml:space="preserve">&lt;&lt;luxury_features.SmartHome&gt;&gt;</w:t>
      </w:r>
      <w:r>
        <w:t xml:space="preserve"> | </w:t>
      </w:r>
      <w:r>
        <w:rPr>
          <w:b/>
          <w:bCs/>
        </w:rPr>
        <w:t xml:space="preserve">Security: </w:t>
      </w:r>
      <w:r>
        <w:rPr>
          <w:rFonts w:ascii="Courier New" w:cs="Courier New" w:eastAsia="Courier New" w:hAnsi="Courier New"/>
          <w:color w:val="000000"/>
        </w:rPr>
        <w:t xml:space="preserve">&lt;&lt;luxury_features.Security&gt;&gt;</w:t>
      </w:r>
    </w:p>
    <w:p>
      <w:pPr>
        <w:pStyle w:val="Heading1"/>
        <w:spacing w:before="240" w:after="120"/>
      </w:pPr>
      <w:r>
        <w:t xml:space="preserve">Comparable Luxury Sales</w:t>
      </w:r>
    </w:p>
    <w:p>
      <w:pPr>
        <w:spacing w:after="120"/>
      </w:pPr>
      <w:r>
        <w:t xml:space="preserve">High-end properties sold in the area: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
</w:t>
      </w:r>
      <w:r>
        <w:t xml:space="preserve">Sale Price: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&lt;&lt;comparables.SquareFeet&gt;&gt;</w:t>
      </w:r>
      <w:r>
        <w:t xml:space="preserve"> sq ft | Price/SF: </w:t>
      </w:r>
      <w:r>
        <w:rPr>
          <w:rFonts w:ascii="Courier New" w:cs="Courier New" w:eastAsia="Courier New" w:hAnsi="Courier New"/>
          <w:color w:val="000000"/>
        </w:rPr>
        <w:t xml:space="preserve">&lt;&lt;comparables.PricePerSqFt&gt;&gt;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t xml:space="preserve">Days on Market: </w:t>
      </w:r>
      <w:r>
        <w:rPr>
          <w:rFonts w:ascii="Courier New" w:cs="Courier New" w:eastAsia="Courier New" w:hAnsi="Courier New"/>
          <w:color w:val="000000"/>
        </w:rPr>
        <w:t xml:space="preserve">&lt;&lt;comparables.DaysOnMarket&gt;&gt;</w:t>
      </w:r>
      <w:r>
        <w:t xml:space="preserve"> | 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Market Position</w:t>
      </w:r>
    </w:p>
    <w:p>
      <w:pPr>
        <w:spacing w:after="240"/>
      </w:pPr>
      <w:r>
        <w:t xml:space="preserve">This property represents exceptional value in the luxury market segment.</w:t>
      </w:r>
    </w:p>
    <w:p>
      <w:pPr>
        <w:pStyle w:val="Heading1"/>
        <w:spacing w:before="240" w:after="120"/>
      </w:pPr>
      <w:r>
        <w:t xml:space="preserve">Prepared By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Luxury Property Specialist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2026-05-01T14:38:17.513Z</dcterms:created>
  <dcterms:modified xsi:type="dcterms:W3CDTF">2026-05-01T14:38:17.513Z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