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COMPARATIVE MARKET ANALYSIS</w:t>
      </w:r>
    </w:p>
    <w:p>
      <w:pPr>
        <w:pStyle w:val="Heading1"/>
        <w:spacing w:before="240" w:after="120"/>
      </w:pPr>
      <w:r>
        <w:t xml:space="preserve">Subject Property</w:t>
      </w:r>
    </w:p>
    <w:p>
      <w:pPr>
        <w:spacing w:after="80"/>
      </w:pP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80"/>
      </w:pPr>
      <w:r>
        <w:rPr>
          <w:b/>
          <w:bCs/>
        </w:rPr>
        <w:t xml:space="preserve">Bedrooms: </w:t>
      </w: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| </w:t>
      </w:r>
      <w:r>
        <w:rPr>
          <w:b/>
          <w:bCs/>
        </w:rPr>
        <w:t xml:space="preserve">Bathrooms: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| </w:t>
      </w:r>
      <w:r>
        <w:rPr>
          <w:b/>
          <w:bCs/>
        </w:rPr>
        <w:t xml:space="preserve">Sq Ft: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</w:p>
    <w:p>
      <w:pPr>
        <w:spacing w:after="240"/>
      </w:pPr>
      <w:r>
        <w:rPr>
          <w:b/>
          <w:bCs/>
        </w:rPr>
        <w:t xml:space="preserve">Year Built: </w:t>
      </w:r>
      <w:r>
        <w:rPr>
          <w:rFonts w:ascii="Courier New" w:cs="Courier New" w:eastAsia="Courier New" w:hAnsi="Courier New"/>
          <w:color w:val="000000"/>
        </w:rPr>
        <w:t xml:space="preserve">&lt;&lt;properties.YearBuilt&gt;&gt;</w:t>
      </w:r>
      <w:r>
        <w:t xml:space="preserve"> | </w:t>
      </w:r>
      <w:r>
        <w:rPr>
          <w:b/>
          <w:bCs/>
        </w:rPr>
        <w:t xml:space="preserve">Lot Size: </w:t>
      </w:r>
      <w:r>
        <w:rPr>
          <w:rFonts w:ascii="Courier New" w:cs="Courier New" w:eastAsia="Courier New" w:hAnsi="Courier New"/>
          <w:color w:val="000000"/>
        </w:rPr>
        <w:t xml:space="preserve">&lt;&lt;properties.LotSize&gt;&gt;</w:t>
      </w:r>
      <w:r>
        <w:t xml:space="preserve"/>
      </w:r>
    </w:p>
    <w:p>
      <w:pPr>
        <w:pStyle w:val="Heading1"/>
        <w:spacing w:before="240" w:after="120"/>
      </w:pPr>
      <w:r>
        <w:t xml:space="preserve">Comparable Sales</w:t>
      </w:r>
    </w:p>
    <w:p>
      <w:pPr>
        <w:spacing w:after="120"/>
      </w:pPr>
      <w:r>
        <w:t xml:space="preserve">Recent comparable sales in the area: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
</w:t>
      </w:r>
      <w:r>
        <w:t xml:space="preserve">Sale Price: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Sale Date: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t xml:space="preserve">Beds: </w:t>
      </w:r>
      <w:r>
        <w:rPr>
          <w:rFonts w:ascii="Courier New" w:cs="Courier New" w:eastAsia="Courier New" w:hAnsi="Courier New"/>
          <w:color w:val="000000"/>
        </w:rPr>
        <w:t xml:space="preserve">&lt;&lt;comparables.Bedrooms&gt;&gt;</w:t>
      </w:r>
      <w:r>
        <w:t xml:space="preserve"> | Baths: </w:t>
      </w:r>
      <w:r>
        <w:rPr>
          <w:rFonts w:ascii="Courier New" w:cs="Courier New" w:eastAsia="Courier New" w:hAnsi="Courier New"/>
          <w:color w:val="000000"/>
        </w:rPr>
        <w:t xml:space="preserve">&lt;&lt;comparables.Bathrooms&gt;&gt;</w:t>
      </w:r>
      <w:r>
        <w:t xml:space="preserve"> | Sq Ft: </w:t>
      </w:r>
      <w:r>
        <w:rPr>
          <w:rFonts w:ascii="Courier New" w:cs="Courier New" w:eastAsia="Courier New" w:hAnsi="Courier New"/>
          <w:color w:val="000000"/>
        </w:rPr>
        <w:t xml:space="preserve">&lt;&lt;comparables.SquareFeet&gt;&gt;</w:t>
      </w:r>
      <w:r>
        <w:t xml:space="preserve">
</w:t>
      </w:r>
      <w:r>
        <w:t xml:space="preserve">Price/Sq Ft: </w:t>
      </w:r>
      <w:r>
        <w:rPr>
          <w:rFonts w:ascii="Courier New" w:cs="Courier New" w:eastAsia="Courier New" w:hAnsi="Courier New"/>
          <w:color w:val="000000"/>
        </w:rPr>
        <w:t xml:space="preserve">&lt;&lt;comparables.PricePerSqFt&gt;&gt;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Days on Market: </w:t>
      </w:r>
      <w:r>
        <w:rPr>
          <w:rFonts w:ascii="Courier New" w:cs="Courier New" w:eastAsia="Courier New" w:hAnsi="Courier New"/>
          <w:color w:val="000000"/>
        </w:rPr>
        <w:t xml:space="preserve">&lt;&lt;comparables.DaysOnMarket&gt;&gt;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Market Summary</w:t>
      </w:r>
    </w:p>
    <w:p>
      <w:pPr>
        <w:spacing w:after="120"/>
      </w:pPr>
      <w:r>
        <w:t xml:space="preserve">Based on the analysis of comparable properties, the suggested price range is:</w:t>
      </w:r>
    </w:p>
    <w:p>
      <w:pPr>
        <w:spacing w:after="240"/>
      </w:pPr>
      <w:r>
        <w:rPr>
          <w:b/>
          <w:bCs/>
        </w:rPr>
        <w:t xml:space="preserve">Low: </w:t>
      </w:r>
      <w:r>
        <w:rPr>
          <w:rFonts w:ascii="Courier New" w:cs="Courier New" w:eastAsia="Courier New" w:hAnsi="Courier New"/>
          <w:color w:val="000000"/>
        </w:rPr>
        <w:t xml:space="preserve">&lt;&lt;properties.EstimatedLowPrice&gt;&gt;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</w:t>
      </w:r>
      <w:r>
        <w:rPr>
          <w:b/>
          <w:bCs/>
        </w:rPr>
        <w:t xml:space="preserve">High: </w:t>
      </w:r>
      <w:r>
        <w:rPr>
          <w:rFonts w:ascii="Courier New" w:cs="Courier New" w:eastAsia="Courier New" w:hAnsi="Courier New"/>
          <w:color w:val="000000"/>
        </w:rPr>
        <w:t xml:space="preserve">&lt;&lt;properties.EstimatedHighPrice&gt;&gt;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</w:t>
      </w:r>
      <w:r>
        <w:rPr>
          <w:b/>
          <w:bCs/>
        </w:rPr>
        <w:t xml:space="preserve">Suggested: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pStyle w:val="Heading1"/>
        <w:spacing w:before="240" w:after="120"/>
      </w:pPr>
      <w:r>
        <w:t xml:space="preserve">Prepared By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, </w:t>
      </w:r>
      <w:r>
        <w:rPr>
          <w:rFonts w:ascii="Courier New" w:cs="Courier New" w:eastAsia="Courier New" w:hAnsi="Courier New"/>
          <w:color w:val="000000"/>
        </w:rPr>
        <w:t xml:space="preserve">Real Estate Agent</w:t>
      </w:r>
    </w:p>
    <w:p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2026-05-01T14:38:16.640Z</dcterms:created>
  <dcterms:modified xsi:type="dcterms:W3CDTF">2026-05-01T14:38:16.640Z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