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TIME AND MATERIALS AUTHORIZATION</w:t>
      </w:r>
    </w:p>
    <w:p/>
    <w:p>
      <w:pPr>
        <w:pStyle w:val="Heading1"/>
      </w:pPr>
      <w:r>
        <w:rPr>
          <w:color w:val="004682"/>
        </w:rPr>
        <w:t>Authorization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Authorization #:</w:t>
            </w:r>
          </w:p>
        </w:tc>
        <w:tc>
          <w:tcPr>
            <w:tcW w:type="dxa" w:w="4680"/>
          </w:tcPr>
          <w:p>
            <w:r>
              <w:t>TM-&lt;&lt;change_orders.CONumber&gt;&gt;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&lt;&lt;change_orders.CODate&gt;&gt;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Not-to-Exceed Amount:</w:t>
            </w:r>
          </w:p>
        </w:tc>
        <w:tc>
          <w:tcPr>
            <w:tcW w:type="dxa" w:w="4680"/>
          </w:tcPr>
          <w:p>
            <w:r>
              <w:t>$&lt;&lt;change_orders.PriceImpact&gt;&gt;</w:t>
            </w:r>
          </w:p>
        </w:tc>
      </w:tr>
    </w:tbl>
    <w:p/>
    <w:p>
      <w:pPr>
        <w:pStyle w:val="Heading1"/>
      </w:pPr>
      <w:r>
        <w:rPr>
          <w:color w:val="004682"/>
        </w:rPr>
        <w:t>Scope of T&amp;M Work</w:t>
      </w:r>
    </w:p>
    <w:p>
      <w:r>
        <w:t>&lt;&lt;change_orders.Description&gt;&gt;</w:t>
      </w:r>
    </w:p>
    <w:p>
      <w:r>
        <w:t>Reason: &lt;&lt;change_orders.Reason&gt;&gt;</w:t>
      </w:r>
    </w:p>
    <w:p/>
    <w:p>
      <w:pPr>
        <w:pStyle w:val="Heading1"/>
      </w:pPr>
      <w:r>
        <w:rPr>
          <w:color w:val="004682"/>
        </w:rPr>
        <w:t>Rate Schedule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Labor Category</w:t>
            </w:r>
          </w:p>
        </w:tc>
        <w:tc>
          <w:tcPr>
            <w:tcW w:type="dxa" w:w="3120"/>
          </w:tcPr>
          <w:p>
            <w:r>
              <w:t>Straight Time</w:t>
            </w:r>
          </w:p>
        </w:tc>
        <w:tc>
          <w:tcPr>
            <w:tcW w:type="dxa" w:w="3120"/>
          </w:tcPr>
          <w:p>
            <w:r>
              <w:t>Overtime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r>
              <w:t>Superintendent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</w:tr>
      <w:tr>
        <w:tc>
          <w:tcPr>
            <w:tcW w:type="dxa" w:w="3120"/>
          </w:tcPr>
          <w:p>
            <w:r>
              <w:t>Foreman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</w:tr>
      <w:tr>
        <w:tc>
          <w:tcPr>
            <w:tcW w:type="dxa" w:w="3120"/>
          </w:tcPr>
          <w:p>
            <w:r>
              <w:t>Journeyman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</w:tr>
      <w:tr>
        <w:tc>
          <w:tcPr>
            <w:tcW w:type="dxa" w:w="3120"/>
          </w:tcPr>
          <w:p>
            <w:r>
              <w:t>Apprentice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</w:tr>
      <w:tr>
        <w:tc>
          <w:tcPr>
            <w:tcW w:type="dxa" w:w="3120"/>
          </w:tcPr>
          <w:p>
            <w:r>
              <w:t>Laborer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  <w:tc>
          <w:tcPr>
            <w:tcW w:type="dxa" w:w="3120"/>
          </w:tcPr>
          <w:p>
            <w:r>
              <w:t>$______/hr</w:t>
            </w:r>
          </w:p>
        </w:tc>
      </w:tr>
    </w:tbl>
    <w:p/>
    <w:p>
      <w:r>
        <w:t>Materials shall be billed at actual cost plus &lt;&lt;MarkupPercent&gt;&gt;% overhead and profit. All T&amp;M work requires daily field tickets signed by Owner's representative.</w:t>
      </w:r>
    </w:p>
    <w:p/>
    <w:p>
      <w:r>
        <w:t>THIS AUTHORIZATION DOES NOT MODIFY THE CONTRACT SUM unless a formal Change Order is issued upon completion of the T&amp;M work.</w:t>
      </w:r>
    </w:p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 Authorization: &lt;&lt;owner.FirstName&gt;&gt; &lt;&lt;owner.LastName&gt;&gt;</w:t>
            </w:r>
          </w:p>
        </w:tc>
        <w:tc>
          <w:tcPr>
            <w:tcW w:type="dxa" w:w="4680"/>
          </w:tcPr>
          <w:p>
            <w:r>
              <w:t>Contractor: &lt;&lt;companies.CompanyName&gt;&gt;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