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04682"/>
          <w:sz w:val="28"/>
        </w:rPr>
        <w:t>&lt;&lt;companies.CompanyName&gt;&gt;</w:t>
      </w:r>
    </w:p>
    <w:p>
      <w:pPr>
        <w:jc w:val="center"/>
      </w:pPr>
      <w:r>
        <w:rPr>
          <w:color w:val="787878"/>
          <w:sz w:val="18"/>
        </w:rPr>
        <w:t>&lt;&lt;companies.Address&gt;&gt;  |  &lt;&lt;companies.City&gt;&gt;, &lt;&lt;companies.State&gt;&gt;  &lt;&lt;companies.Zip&gt;&gt;  |  &lt;&lt;companies.Phone&gt;&gt;  |  &lt;&lt;companies.Email&gt;&gt;</w:t>
      </w:r>
    </w:p>
    <w:p>
      <w:pPr>
        <w:jc w:val="center"/>
      </w:pPr>
      <w:r>
        <w:rPr>
          <w:color w:val="787878"/>
          <w:sz w:val="18"/>
        </w:rPr>
        <w:t>License: &lt;&lt;companies.LicenseNumber&gt;&gt; (&lt;&lt;companies.LicenseState&gt;&gt;)  |  Bonding: &lt;&lt;companies.BondingCompany&gt;&gt;  |  Bond Limit: $&lt;&lt;companies.BondLimit&gt;&gt;</w:t>
      </w:r>
    </w:p>
    <w:p/>
    <w:p>
      <w:pPr>
        <w:pStyle w:val="Title"/>
        <w:jc w:val="center"/>
      </w:pPr>
      <w:r>
        <w:t>CONSTRUCTION CONTRACT</w:t>
      </w:r>
    </w:p>
    <w:p>
      <w:pPr>
        <w:jc w:val="center"/>
      </w:pPr>
      <w:r>
        <w:rPr>
          <w:i/>
        </w:rPr>
        <w:t>Owner-Contractor Agreement</w:t>
      </w:r>
    </w:p>
    <w:p/>
    <w:tbl>
      <w:tblPr>
        <w:tblStyle w:val="LightList-Accent1"/>
        <w:tblW w:type="auto" w:w="0"/>
        <w:tblLook w:firstColumn="1" w:firstRow="1" w:lastColumn="0" w:lastRow="0" w:noHBand="0" w:noVBand="1" w:val="04A0"/>
      </w:tblPr>
      <w:tblGrid>
        <w:gridCol w:w="4680"/>
        <w:gridCol w:w="4680"/>
      </w:tblGrid>
      <w:tr>
        <w:tc>
          <w:tcPr>
            <w:tcW w:type="dxa" w:w="4680"/>
          </w:tcPr>
          <w:p>
            <w:r>
              <w:t>Project:</w:t>
            </w:r>
          </w:p>
        </w:tc>
        <w:tc>
          <w:tcPr>
            <w:tcW w:type="dxa" w:w="4680"/>
          </w:tcPr>
          <w:p>
            <w:r>
              <w:t>&lt;&lt;projects.ProjectName&gt;&gt;  |  #&lt;&lt;projects.ProjectNumber&gt;&gt;</w:t>
            </w:r>
          </w:p>
        </w:tc>
      </w:tr>
      <w:tr>
        <w:tc>
          <w:tcPr>
            <w:tcW w:type="dxa" w:w="4680"/>
          </w:tcPr>
          <w:p>
            <w:r>
              <w:t>Address:</w:t>
            </w:r>
          </w:p>
        </w:tc>
        <w:tc>
          <w:tcPr>
            <w:tcW w:type="dxa" w:w="4680"/>
          </w:tcPr>
          <w:p>
            <w:r>
              <w:t>&lt;&lt;projects.ProjectAddress&gt;&gt;, &lt;&lt;projects.ProjectCity&gt;&gt;, &lt;&lt;projects.ProjectState&gt;&gt;  &lt;&lt;projects.ProjectZip&gt;&gt;</w:t>
            </w:r>
          </w:p>
        </w:tc>
      </w:tr>
      <w:tr>
        <w:tc>
          <w:tcPr>
            <w:tcW w:type="dxa" w:w="4680"/>
          </w:tcPr>
          <w:p>
            <w:r>
              <w:t>Owner:</w:t>
            </w:r>
          </w:p>
        </w:tc>
        <w:tc>
          <w:tcPr>
            <w:tcW w:type="dxa" w:w="4680"/>
          </w:tcPr>
          <w:p>
            <w:r>
              <w:t>&lt;&lt;owner.FirstName&gt;&gt; &lt;&lt;owner.LastName&gt;&gt; — &lt;&lt;owner.CompanyName&gt;&gt;</w:t>
            </w:r>
          </w:p>
        </w:tc>
      </w:tr>
      <w:tr>
        <w:tc>
          <w:tcPr>
            <w:tcW w:type="dxa" w:w="4680"/>
          </w:tcPr>
          <w:p>
            <w:r>
              <w:t>Architect:</w:t>
            </w:r>
          </w:p>
        </w:tc>
        <w:tc>
          <w:tcPr>
            <w:tcW w:type="dxa" w:w="4680"/>
          </w:tcPr>
          <w:p>
            <w:r>
              <w:t>&lt;&lt;architect.FirstName&gt;&gt; &lt;&lt;architect.LastName&gt;&gt; — &lt;&lt;architect.CompanyName&gt;&gt;</w:t>
            </w:r>
          </w:p>
        </w:tc>
      </w:tr>
      <w:tr>
        <w:tc>
          <w:tcPr>
            <w:tcW w:type="dxa" w:w="4680"/>
          </w:tcPr>
          <w:p>
            <w:r>
              <w:t>Contract Amount:</w:t>
            </w:r>
          </w:p>
        </w:tc>
        <w:tc>
          <w:tcPr>
            <w:tcW w:type="dxa" w:w="4680"/>
          </w:tcPr>
          <w:p>
            <w:r>
              <w:t>$&lt;&lt;projects.ContractAmount&gt;&gt;</w:t>
            </w:r>
          </w:p>
        </w:tc>
      </w:tr>
      <w:tr>
        <w:tc>
          <w:tcPr>
            <w:tcW w:type="dxa" w:w="4680"/>
          </w:tcPr>
          <w:p>
            <w:r>
              <w:t>Contract Date:</w:t>
            </w:r>
          </w:p>
        </w:tc>
        <w:tc>
          <w:tcPr>
            <w:tcW w:type="dxa" w:w="4680"/>
          </w:tcPr>
          <w:p>
            <w:r>
              <w:t>&lt;&lt;projects.ContractDate&gt;&gt;</w:t>
            </w:r>
          </w:p>
        </w:tc>
      </w:tr>
    </w:tbl>
    <w:p/>
    <w:p>
      <w:pPr>
        <w:pStyle w:val="Heading1"/>
      </w:pPr>
      <w:r>
        <w:rPr>
          <w:color w:val="004682"/>
        </w:rPr>
        <w:t>Article 1 — The Work</w:t>
      </w:r>
    </w:p>
    <w:p>
      <w:r>
        <w:t>The Contractor shall perform all work described in the Contract Documents for &lt;&lt;projects.ProjectName&gt;&gt; located at &lt;&lt;projects.ProjectAddress&gt;&gt;, &lt;&lt;projects.ProjectCity&gt;&gt;, &lt;&lt;projects.ProjectState&gt;&gt; &lt;&lt;projects.ProjectZip&gt;&gt; (APN: &lt;&lt;projects.APNNumber&gt;&gt;).</w:t>
      </w:r>
    </w:p>
    <w:p>
      <w:pPr>
        <w:pStyle w:val="Heading1"/>
      </w:pPr>
      <w:r>
        <w:rPr>
          <w:color w:val="004682"/>
        </w:rPr>
        <w:t>Article 2 — Contract Sum</w:t>
      </w:r>
    </w:p>
    <w:tbl>
      <w:tblPr>
        <w:tblStyle w:val="LightList-Accent1"/>
        <w:tblW w:type="auto" w:w="0"/>
        <w:tblLook w:firstColumn="1" w:firstRow="1" w:lastColumn="0" w:lastRow="0" w:noHBand="0" w:noVBand="1" w:val="04A0"/>
      </w:tblPr>
      <w:tblGrid>
        <w:gridCol w:w="4680"/>
        <w:gridCol w:w="4680"/>
      </w:tblGrid>
      <w:tr>
        <w:tc>
          <w:tcPr>
            <w:tcW w:type="dxa" w:w="4680"/>
          </w:tcPr>
          <w:p>
            <w:r>
              <w:t>Original Contract Sum:</w:t>
            </w:r>
          </w:p>
        </w:tc>
        <w:tc>
          <w:tcPr>
            <w:tcW w:type="dxa" w:w="4680"/>
          </w:tcPr>
          <w:p>
            <w:r>
              <w:t>$&lt;&lt;projects.ContractAmount&gt;&gt;</w:t>
            </w:r>
          </w:p>
        </w:tc>
      </w:tr>
      <w:tr>
        <w:tc>
          <w:tcPr>
            <w:tcW w:type="dxa" w:w="4680"/>
          </w:tcPr>
          <w:p>
            <w:r>
              <w:t>Retainage:</w:t>
            </w:r>
          </w:p>
        </w:tc>
        <w:tc>
          <w:tcPr>
            <w:tcW w:type="dxa" w:w="4680"/>
          </w:tcPr>
          <w:p>
            <w:r>
              <w:t>&lt;&lt;projects.RetainagePercent&gt;&gt;%</w:t>
            </w:r>
          </w:p>
        </w:tc>
      </w:tr>
      <w:tr>
        <w:tc>
          <w:tcPr>
            <w:tcW w:type="dxa" w:w="4680"/>
          </w:tcPr>
          <w:p>
            <w:r>
              <w:t>Payment Terms:</w:t>
            </w:r>
          </w:p>
        </w:tc>
        <w:tc>
          <w:tcPr>
            <w:tcW w:type="dxa" w:w="4680"/>
          </w:tcPr>
          <w:p>
            <w:r>
              <w:t>Net &lt;&lt;projects.PaymentDays&gt;&gt; days</w:t>
            </w:r>
          </w:p>
        </w:tc>
      </w:tr>
      <w:tr>
        <w:tc>
          <w:tcPr>
            <w:tcW w:type="dxa" w:w="4680"/>
          </w:tcPr>
          <w:p>
            <w:r>
              <w:t>CO Response Days:</w:t>
            </w:r>
          </w:p>
        </w:tc>
        <w:tc>
          <w:tcPr>
            <w:tcW w:type="dxa" w:w="4680"/>
          </w:tcPr>
          <w:p>
            <w:r>
              <w:t>&lt;&lt;projects.COResponseDays&gt;&gt; days</w:t>
            </w:r>
          </w:p>
        </w:tc>
      </w:tr>
    </w:tbl>
    <w:p/>
    <w:p>
      <w:pPr>
        <w:pStyle w:val="Heading1"/>
      </w:pPr>
      <w:r>
        <w:rPr>
          <w:color w:val="004682"/>
        </w:rPr>
        <w:t>Article 3 — Contract Time</w:t>
      </w:r>
    </w:p>
    <w:tbl>
      <w:tblPr>
        <w:tblStyle w:val="LightList-Accent1"/>
        <w:tblW w:type="auto" w:w="0"/>
        <w:tblLook w:firstColumn="1" w:firstRow="1" w:lastColumn="0" w:lastRow="0" w:noHBand="0" w:noVBand="1" w:val="04A0"/>
      </w:tblPr>
      <w:tblGrid>
        <w:gridCol w:w="4680"/>
        <w:gridCol w:w="4680"/>
      </w:tblGrid>
      <w:tr>
        <w:tc>
          <w:tcPr>
            <w:tcW w:type="dxa" w:w="4680"/>
          </w:tcPr>
          <w:p>
            <w:r>
              <w:t>Commencement:</w:t>
            </w:r>
          </w:p>
        </w:tc>
        <w:tc>
          <w:tcPr>
            <w:tcW w:type="dxa" w:w="4680"/>
          </w:tcPr>
          <w:p>
            <w:r>
              <w:t>&lt;&lt;projects.StartDate&gt;&gt;</w:t>
            </w:r>
          </w:p>
        </w:tc>
      </w:tr>
      <w:tr>
        <w:tc>
          <w:tcPr>
            <w:tcW w:type="dxa" w:w="4680"/>
          </w:tcPr>
          <w:p>
            <w:r>
              <w:t>Substantial Completion:</w:t>
            </w:r>
          </w:p>
        </w:tc>
        <w:tc>
          <w:tcPr>
            <w:tcW w:type="dxa" w:w="4680"/>
          </w:tcPr>
          <w:p>
            <w:r>
              <w:t>&lt;&lt;projects.CompletionDate&gt;&gt;</w:t>
            </w:r>
          </w:p>
        </w:tc>
      </w:tr>
      <w:tr>
        <w:tc>
          <w:tcPr>
            <w:tcW w:type="dxa" w:w="4680"/>
          </w:tcPr>
          <w:p>
            <w:r>
              <w:t>Liquidated Damages:</w:t>
            </w:r>
          </w:p>
        </w:tc>
        <w:tc>
          <w:tcPr>
            <w:tcW w:type="dxa" w:w="4680"/>
          </w:tcPr>
          <w:p>
            <w:r>
              <w:t>As stipulated in Exhibit B</w:t>
            </w:r>
          </w:p>
        </w:tc>
      </w:tr>
    </w:tbl>
    <w:p/>
    <w:p>
      <w:pPr>
        <w:pStyle w:val="Heading1"/>
      </w:pPr>
      <w:r>
        <w:rPr>
          <w:color w:val="004682"/>
        </w:rPr>
        <w:t>Article 4 — Changes in the Work</w:t>
      </w:r>
    </w:p>
    <w:p>
      <w:r>
        <w:t>Changes shall be authorized via written Change Order. Contractor has &lt;&lt;projects.COResponseDays&gt;&gt; calendar days to submit pricing. Unauthorized changes are not compensable.</w:t>
      </w:r>
    </w:p>
    <w:p>
      <w:pPr>
        <w:pStyle w:val="Heading1"/>
      </w:pPr>
      <w:r>
        <w:rPr>
          <w:color w:val="004682"/>
        </w:rPr>
        <w:t>Article 5 — Payments</w:t>
      </w:r>
    </w:p>
    <w:p>
      <w:r>
        <w:t>Applications for Payment shall be submitted monthly per the Schedule of Values (Exhibit C). Conditional lien waivers shall accompany each Application for Payment. Unconditional waivers shall be provided upon receipt of each progress payment.</w:t>
      </w:r>
    </w:p>
    <w:p>
      <w:pPr>
        <w:pStyle w:val="Heading1"/>
      </w:pPr>
      <w:r>
        <w:rPr>
          <w:color w:val="004682"/>
        </w:rPr>
        <w:t>Article 6 — Insurance &amp; Bonds</w:t>
      </w:r>
    </w:p>
    <w:p>
      <w:r>
        <w:t>Contractor shall maintain commercial general liability, workers' compensation, and auto insurance as required. Bonding per Exhibit D.</w:t>
      </w:r>
    </w:p>
    <w:p>
      <w:pPr>
        <w:pStyle w:val="Heading1"/>
      </w:pPr>
      <w:r>
        <w:rPr>
          <w:color w:val="004682"/>
        </w:rPr>
        <w:t>Article 7 — Lien Rights (&lt;&lt;projects.ProjectState&gt;&gt;-Specific)</w:t>
      </w:r>
    </w:p>
    <w:p>
      <w:r>
        <w:t>{{IF projects.ProjectState = 'CA'}}CALIFORNIA: This contract is subject to California Civil Code §8000 et seq. Contractor shall serve a Preliminary Notice within 20 days of first furnishing labor or materials. Lien must be recorded within 90 days of completion.{{ENDIF}}</w:t>
      </w:r>
    </w:p>
    <w:p>
      <w:r>
        <w:t>{{IF projects.ProjectState = 'TX'}}TEXAS: This contract is subject to Texas Property Code Chapter 53. Contractor shall serve monthly notices by the 15th of each month. Lien affidavit must be filed by the 15th day of the 4th month following completion.{{ENDIF}}</w:t>
      </w:r>
    </w:p>
    <w:p>
      <w:r>
        <w:t>{{IF projects.ProjectState = 'FL'}}FLORIDA: This contract is subject to Florida Statutes Chapter 713. Notice to Owner must be served within 45 days of first furnishing. Claim of lien must be recorded within 90 days of final furnishing.{{ENDIF}}</w:t>
      </w:r>
    </w:p>
    <w:p>
      <w:r>
        <w:t>{{IF projects.ProjectState = 'AZ'}}ARIZONA: This contract is subject to A.R.S. §33-981. Preliminary 20-day notice required. Lien must be recorded within 120 days of substantial completion.{{ENDIF}}</w:t>
      </w:r>
    </w:p>
    <w:p>
      <w:r>
        <w:t>{{IF projects.ProjectState = 'WA'}}WASHINGTON: This contract is subject to RCW Chapter 60.04. Lien must be filed within 90 days of last furnishing.{{ENDIF}}</w:t>
      </w:r>
    </w:p>
    <w:p>
      <w:r>
        <w:t>{{IF projects.ProjectState = 'PA'}}PENNSYLVANIA: This contract is subject to the PA Mechanics Lien Law of 1963. Lien must be filed within 6 months of completion.{{ENDIF}}</w:t>
      </w:r>
    </w:p>
    <w:p>
      <w:r>
        <w:t>{{IF projects.ProjectState = 'OH'}}OHIO: This contract is subject to ORC Chapter 1311. Lien must be filed within 75 days of last furnishing.{{ENDIF}}</w:t>
      </w:r>
    </w:p>
    <w:p>
      <w:pPr>
        <w:pStyle w:val="Heading1"/>
      </w:pPr>
      <w:r>
        <w:rPr>
          <w:color w:val="004682"/>
        </w:rPr>
        <w:t>Article 8 — Dispute Resolution</w:t>
      </w:r>
    </w:p>
    <w:p>
      <w:r>
        <w:t>Disputes shall first be submitted to the architect for initial decision per AIA A201 §15.2. Unresolved disputes shall be subject to mediation, then binding arbitration.</w:t>
      </w:r>
    </w:p>
    <w:p>
      <w:pPr>
        <w:pStyle w:val="Heading1"/>
      </w:pPr>
      <w:r>
        <w:rPr>
          <w:color w:val="004682"/>
        </w:rPr>
        <w:t>Article 9 — Termination</w:t>
      </w:r>
    </w:p>
    <w:p>
      <w:r>
        <w:t>[See Contract Documents]</w:t>
      </w:r>
    </w:p>
    <w:p>
      <w:pPr>
        <w:pStyle w:val="Heading1"/>
      </w:pPr>
      <w:r>
        <w:rPr>
          <w:color w:val="004682"/>
        </w:rPr>
        <w:t>Article 10 — Miscellaneous Provisions</w:t>
      </w:r>
    </w:p>
    <w:p>
      <w:r>
        <w:t>[See Contract Documents]</w:t>
      </w:r>
    </w:p>
    <w:p/>
    <w:p/>
    <w:p>
      <w:r>
        <w:rPr>
          <w:color w:val="C8C8C8"/>
          <w:sz w:val="16"/>
        </w:rPr>
        <w:t>────────────────────────────────────────────────────────────────────────────────</w:t>
      </w:r>
    </w:p>
    <w:tbl>
      <w:tblPr>
        <w:tblStyle w:val="TableGrid"/>
        <w:tblW w:type="auto" w:w="0"/>
        <w:tblLook w:firstColumn="1" w:firstRow="1" w:lastColumn="0" w:lastRow="0" w:noHBand="0" w:noVBand="1" w:val="04A0"/>
      </w:tblPr>
      <w:tblGrid>
        <w:gridCol w:w="4680"/>
        <w:gridCol w:w="4680"/>
      </w:tblGrid>
      <w:tr>
        <w:tc>
          <w:tcPr>
            <w:tcW w:type="dxa" w:w="4680"/>
          </w:tcPr>
          <w:p>
            <w:r>
              <w:t>Owner: &lt;&lt;owner.FirstName&gt;&gt; &lt;&lt;owner.LastName&gt;&gt;</w:t>
            </w:r>
          </w:p>
        </w:tc>
        <w:tc>
          <w:tcPr>
            <w:tcW w:type="dxa" w:w="4680"/>
          </w:tcPr>
          <w:p>
            <w:r>
              <w:t>Contractor: &lt;&lt;companies.CompanyName&gt;&gt;</w:t>
            </w:r>
          </w:p>
        </w:tc>
      </w:tr>
      <w:tr>
        <w:tc>
          <w:tcPr>
            <w:tcW w:type="dxa" w:w="4680"/>
          </w:tcPr>
          <w:p>
            <w:r>
              <w:t>Signature: ______________________________</w:t>
            </w:r>
          </w:p>
        </w:tc>
        <w:tc>
          <w:tcPr>
            <w:tcW w:type="dxa" w:w="4680"/>
          </w:tcPr>
          <w:p>
            <w:r>
              <w:t>Signature: ______________________________</w:t>
            </w:r>
          </w:p>
        </w:tc>
      </w:tr>
      <w:tr>
        <w:tc>
          <w:tcPr>
            <w:tcW w:type="dxa" w:w="4680"/>
          </w:tcPr>
          <w:p>
            <w:r>
              <w:t>Print Name: _____________________________</w:t>
            </w:r>
          </w:p>
        </w:tc>
        <w:tc>
          <w:tcPr>
            <w:tcW w:type="dxa" w:w="4680"/>
          </w:tcPr>
          <w:p>
            <w:r>
              <w:t>Print Name: _____________________________</w:t>
            </w:r>
          </w:p>
        </w:tc>
      </w:tr>
      <w:tr>
        <w:tc>
          <w:tcPr>
            <w:tcW w:type="dxa" w:w="4680"/>
          </w:tcPr>
          <w:p>
            <w:r>
              <w:t>Date: __________________________________</w:t>
            </w:r>
          </w:p>
        </w:tc>
        <w:tc>
          <w:tcPr>
            <w:tcW w:type="dxa" w:w="4680"/>
          </w:tcPr>
          <w:p>
            <w:r>
              <w:t>Date: __________________________________</w:t>
            </w:r>
          </w:p>
        </w:tc>
      </w:tr>
    </w:tbl>
    <w:sectPr w:rsidR="00FC693F" w:rsidRPr="0006063C" w:rsidSect="00034616">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